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9DE" w:rsidRDefault="006819DE" w:rsidP="006819DE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4"/>
          <w:szCs w:val="24"/>
          <w:lang w:val="x-none"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3F49D42" wp14:editId="164A7C4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9DE" w:rsidRDefault="006819DE" w:rsidP="006819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БУЧАНСЬКА     МІСЬКА      РАДА</w:t>
      </w:r>
    </w:p>
    <w:p w:rsidR="006819DE" w:rsidRDefault="006819DE" w:rsidP="006819DE">
      <w:pPr>
        <w:keepNext/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КИЇВСЬКОЇ  ОБЛАСТІ</w:t>
      </w:r>
      <w:proofErr w:type="gramEnd"/>
    </w:p>
    <w:p w:rsidR="006819DE" w:rsidRDefault="006819DE" w:rsidP="00681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ДЕВ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’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ЯТА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СЕСІЯ    ВОСЬМОГО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СКЛИКАННЯ</w:t>
      </w:r>
    </w:p>
    <w:p w:rsidR="006819DE" w:rsidRDefault="006819DE" w:rsidP="00681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19DE" w:rsidRDefault="006819DE" w:rsidP="006819DE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4"/>
          <w:szCs w:val="24"/>
          <w:lang w:val="x-none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x-none" w:eastAsia="ru-RU"/>
        </w:rPr>
        <w:t xml:space="preserve">Р  І   Ш   Е   Н  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x-none" w:eastAsia="ru-RU"/>
        </w:rPr>
        <w:t>Н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x-none" w:eastAsia="ru-RU"/>
        </w:rPr>
        <w:t xml:space="preserve">   Я</w:t>
      </w:r>
    </w:p>
    <w:p w:rsidR="006819DE" w:rsidRDefault="006819DE" w:rsidP="006819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819DE" w:rsidRDefault="006819DE" w:rsidP="006819DE">
      <w:pPr>
        <w:keepNext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Cs/>
          <w:sz w:val="24"/>
          <w:szCs w:val="24"/>
          <w:lang w:val="x-none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x-none" w:eastAsia="ru-RU"/>
        </w:rPr>
        <w:t xml:space="preserve">« 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25</w:t>
      </w:r>
      <w:r>
        <w:rPr>
          <w:rFonts w:ascii="Times New Roman" w:eastAsia="Times New Roman" w:hAnsi="Times New Roman"/>
          <w:b/>
          <w:bCs/>
          <w:sz w:val="24"/>
          <w:szCs w:val="24"/>
          <w:lang w:val="x-none" w:eastAsia="ru-RU"/>
        </w:rPr>
        <w:t xml:space="preserve"> »  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березня</w:t>
      </w:r>
      <w:r>
        <w:rPr>
          <w:rFonts w:ascii="Times New Roman" w:eastAsia="Times New Roman" w:hAnsi="Times New Roman"/>
          <w:b/>
          <w:bCs/>
          <w:sz w:val="24"/>
          <w:szCs w:val="24"/>
          <w:lang w:val="x-none" w:eastAsia="ru-RU"/>
        </w:rPr>
        <w:t xml:space="preserve">  202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/>
          <w:b/>
          <w:bCs/>
          <w:sz w:val="24"/>
          <w:szCs w:val="24"/>
          <w:lang w:val="x-none" w:eastAsia="ru-RU"/>
        </w:rPr>
        <w:t xml:space="preserve">р. </w:t>
      </w:r>
      <w:r>
        <w:rPr>
          <w:rFonts w:ascii="Times New Roman" w:eastAsia="Times New Roman" w:hAnsi="Times New Roman"/>
          <w:b/>
          <w:bCs/>
          <w:sz w:val="24"/>
          <w:szCs w:val="24"/>
          <w:lang w:val="x-none" w:eastAsia="ru-RU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val="x-none" w:eastAsia="ru-RU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val="x-none" w:eastAsia="ru-RU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val="x-none" w:eastAsia="ru-RU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val="x-none" w:eastAsia="ru-RU"/>
        </w:rPr>
        <w:tab/>
        <w:t xml:space="preserve">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/>
          <w:b/>
          <w:bCs/>
          <w:sz w:val="24"/>
          <w:szCs w:val="24"/>
          <w:lang w:val="x-none" w:eastAsia="ru-RU"/>
        </w:rPr>
        <w:t xml:space="preserve">    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x-none" w:eastAsia="ru-RU"/>
        </w:rPr>
        <w:t>№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784 -</w:t>
      </w:r>
      <w:r>
        <w:rPr>
          <w:rFonts w:ascii="Times New Roman" w:eastAsia="Times New Roman" w:hAnsi="Times New Roman"/>
          <w:b/>
          <w:bCs/>
          <w:sz w:val="24"/>
          <w:szCs w:val="24"/>
          <w:lang w:val="x-none"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9</w:t>
      </w:r>
      <w:r>
        <w:rPr>
          <w:rFonts w:ascii="Times New Roman" w:eastAsia="Times New Roman" w:hAnsi="Times New Roman"/>
          <w:b/>
          <w:bCs/>
          <w:sz w:val="24"/>
          <w:szCs w:val="24"/>
          <w:lang w:val="x-none" w:eastAsia="ru-RU"/>
        </w:rPr>
        <w:t xml:space="preserve"> -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VI</w:t>
      </w:r>
      <w:r>
        <w:rPr>
          <w:rFonts w:ascii="Times New Roman" w:eastAsia="Times New Roman" w:hAnsi="Times New Roman"/>
          <w:b/>
          <w:bCs/>
          <w:sz w:val="24"/>
          <w:szCs w:val="24"/>
          <w:lang w:val="x-none" w:eastAsia="ru-RU"/>
        </w:rPr>
        <w:t>ІІ</w:t>
      </w:r>
    </w:p>
    <w:p w:rsidR="006819DE" w:rsidRDefault="006819DE" w:rsidP="006819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6819DE" w:rsidRDefault="006819DE" w:rsidP="006819DE">
      <w:pPr>
        <w:widowControl w:val="0"/>
        <w:tabs>
          <w:tab w:val="left" w:pos="4962"/>
          <w:tab w:val="left" w:pos="5387"/>
        </w:tabs>
        <w:autoSpaceDE w:val="0"/>
        <w:autoSpaceDN w:val="0"/>
        <w:adjustRightInd w:val="0"/>
        <w:spacing w:after="0" w:line="240" w:lineRule="auto"/>
        <w:ind w:right="5102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передачу на баланс та господарське відання КП «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Бучасервіс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»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міської ради об’єктів водопостачання та водовідведення</w:t>
      </w:r>
    </w:p>
    <w:p w:rsidR="006819DE" w:rsidRDefault="006819DE" w:rsidP="006819DE">
      <w:pPr>
        <w:widowControl w:val="0"/>
        <w:tabs>
          <w:tab w:val="left" w:pos="4962"/>
          <w:tab w:val="left" w:pos="5387"/>
        </w:tabs>
        <w:autoSpaceDE w:val="0"/>
        <w:autoSpaceDN w:val="0"/>
        <w:adjustRightInd w:val="0"/>
        <w:spacing w:after="0" w:line="240" w:lineRule="auto"/>
        <w:ind w:right="5102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</w:t>
      </w:r>
    </w:p>
    <w:p w:rsidR="006819DE" w:rsidRDefault="006819DE" w:rsidP="006819DE">
      <w:pPr>
        <w:widowControl w:val="0"/>
        <w:tabs>
          <w:tab w:val="left" w:pos="4962"/>
          <w:tab w:val="left" w:pos="53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Розглянувши звернення начальника КП «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Бучасервіс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»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Мостіпаки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С.В. про передачу на баланс та в господарське відання об’єктів водопостачання та водовідведення, з метою забезпечення належного утримання та ефективної експлуатації об’єктів водопостачання та водовідведення, що розташовані на території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територіальної громади та перебувають у комунальній власності, у зв’язку з утворенням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територіальної громади, враховуючи розпорядження Кабінету Міністрів України №600-р від 20 травня 2020 року «Про затвердження перспективного плану формування територій громад Київської області», враховуючи норми Закону України «Про добровільне об’єднання територіальних громад», керуючись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26, 60 Закону України «Про місцеве самоврядування в Україні», міська рада </w:t>
      </w:r>
    </w:p>
    <w:p w:rsidR="006819DE" w:rsidRDefault="006819DE" w:rsidP="006819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819DE" w:rsidRDefault="006819DE" w:rsidP="006819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ВИРІШИЛА:</w:t>
      </w:r>
    </w:p>
    <w:p w:rsidR="006819DE" w:rsidRDefault="006819DE" w:rsidP="006819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6819DE" w:rsidRDefault="006819DE" w:rsidP="006819DE">
      <w:pPr>
        <w:widowControl w:val="0"/>
        <w:numPr>
          <w:ilvl w:val="0"/>
          <w:numId w:val="1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outlineLvl w:val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Передати на баланс та в господарське відання комунальному підприємству «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Бучасервіс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»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 об’єкти водопостачання та водовідведення, відповідно до Додатку 1, 2.</w:t>
      </w:r>
    </w:p>
    <w:p w:rsidR="006819DE" w:rsidRDefault="006819DE" w:rsidP="006819DE">
      <w:pPr>
        <w:widowControl w:val="0"/>
        <w:numPr>
          <w:ilvl w:val="0"/>
          <w:numId w:val="1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Для проведення приймання-передачі об’єктів водопостачання та водовідведення створити комісію, відповідно до Додатку 3.</w:t>
      </w:r>
    </w:p>
    <w:p w:rsidR="006819DE" w:rsidRDefault="006819DE" w:rsidP="006819DE">
      <w:pPr>
        <w:widowControl w:val="0"/>
        <w:numPr>
          <w:ilvl w:val="0"/>
          <w:numId w:val="1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:rsidR="006819DE" w:rsidRDefault="006819DE" w:rsidP="006819DE">
      <w:pPr>
        <w:widowControl w:val="0"/>
        <w:tabs>
          <w:tab w:val="left" w:pos="4962"/>
          <w:tab w:val="left" w:pos="53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819DE" w:rsidRDefault="006819DE" w:rsidP="006819DE">
      <w:pPr>
        <w:widowControl w:val="0"/>
        <w:tabs>
          <w:tab w:val="left" w:pos="4962"/>
          <w:tab w:val="left" w:pos="53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:rsidR="006819DE" w:rsidRDefault="006819DE" w:rsidP="006819DE">
      <w:pPr>
        <w:widowControl w:val="0"/>
        <w:tabs>
          <w:tab w:val="left" w:pos="34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Секретар ради                                                                                            Т.О.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Шаправський</w:t>
      </w:r>
      <w:proofErr w:type="spellEnd"/>
    </w:p>
    <w:p w:rsidR="006819DE" w:rsidRDefault="006819DE" w:rsidP="006819DE">
      <w:pPr>
        <w:shd w:val="clear" w:color="auto" w:fill="FFFFFF"/>
        <w:spacing w:after="0" w:line="240" w:lineRule="auto"/>
        <w:ind w:right="-1" w:firstLine="7088"/>
        <w:rPr>
          <w:rFonts w:ascii="Times New Roman" w:eastAsia="Times New Roman" w:hAnsi="Times New Roman"/>
          <w:bCs/>
          <w:color w:val="000000"/>
          <w:spacing w:val="-5"/>
          <w:sz w:val="24"/>
          <w:szCs w:val="24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ind w:right="-1" w:firstLine="7088"/>
        <w:rPr>
          <w:rFonts w:ascii="Times New Roman" w:eastAsia="Times New Roman" w:hAnsi="Times New Roman"/>
          <w:bCs/>
          <w:color w:val="000000"/>
          <w:spacing w:val="-5"/>
          <w:sz w:val="24"/>
          <w:szCs w:val="24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ind w:right="-1" w:firstLine="7088"/>
        <w:rPr>
          <w:rFonts w:ascii="Times New Roman" w:eastAsia="Times New Roman" w:hAnsi="Times New Roman"/>
          <w:bCs/>
          <w:color w:val="000000"/>
          <w:spacing w:val="-5"/>
          <w:sz w:val="24"/>
          <w:szCs w:val="24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ind w:right="-1" w:firstLine="7088"/>
        <w:rPr>
          <w:rFonts w:ascii="Times New Roman" w:eastAsia="Times New Roman" w:hAnsi="Times New Roman"/>
          <w:bCs/>
          <w:color w:val="000000"/>
          <w:spacing w:val="-5"/>
          <w:sz w:val="24"/>
          <w:szCs w:val="24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ind w:right="-1" w:firstLine="7088"/>
        <w:rPr>
          <w:rFonts w:ascii="Times New Roman" w:eastAsia="Times New Roman" w:hAnsi="Times New Roman"/>
          <w:bCs/>
          <w:color w:val="000000"/>
          <w:spacing w:val="-5"/>
          <w:sz w:val="24"/>
          <w:szCs w:val="24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ind w:right="-1" w:firstLine="7088"/>
        <w:rPr>
          <w:rFonts w:ascii="Times New Roman" w:eastAsia="Times New Roman" w:hAnsi="Times New Roman"/>
          <w:bCs/>
          <w:color w:val="000000"/>
          <w:spacing w:val="-5"/>
          <w:sz w:val="24"/>
          <w:szCs w:val="24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ind w:right="-1" w:firstLine="7088"/>
        <w:rPr>
          <w:rFonts w:ascii="Times New Roman" w:eastAsia="Times New Roman" w:hAnsi="Times New Roman"/>
          <w:bCs/>
          <w:color w:val="000000"/>
          <w:spacing w:val="-5"/>
          <w:sz w:val="24"/>
          <w:szCs w:val="24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ind w:right="-1" w:firstLine="7088"/>
        <w:rPr>
          <w:rFonts w:ascii="Times New Roman" w:eastAsia="Times New Roman" w:hAnsi="Times New Roman"/>
          <w:bCs/>
          <w:color w:val="000000"/>
          <w:spacing w:val="-5"/>
          <w:sz w:val="24"/>
          <w:szCs w:val="24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ind w:right="-1" w:firstLine="7088"/>
        <w:rPr>
          <w:rFonts w:ascii="Times New Roman" w:eastAsia="Times New Roman" w:hAnsi="Times New Roman"/>
          <w:bCs/>
          <w:color w:val="000000"/>
          <w:spacing w:val="-5"/>
          <w:sz w:val="24"/>
          <w:szCs w:val="24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ind w:right="-1" w:firstLine="7088"/>
        <w:rPr>
          <w:rFonts w:ascii="Times New Roman" w:eastAsia="Times New Roman" w:hAnsi="Times New Roman"/>
          <w:bCs/>
          <w:color w:val="000000"/>
          <w:spacing w:val="-5"/>
          <w:sz w:val="24"/>
          <w:szCs w:val="24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ind w:right="-1" w:firstLine="7088"/>
        <w:rPr>
          <w:rFonts w:ascii="Times New Roman" w:eastAsia="Times New Roman" w:hAnsi="Times New Roman"/>
          <w:bCs/>
          <w:color w:val="000000"/>
          <w:spacing w:val="-5"/>
          <w:sz w:val="24"/>
          <w:szCs w:val="24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ind w:right="-1" w:firstLine="7088"/>
        <w:rPr>
          <w:rFonts w:ascii="Times New Roman" w:eastAsia="Times New Roman" w:hAnsi="Times New Roman"/>
          <w:bCs/>
          <w:color w:val="000000"/>
          <w:spacing w:val="-5"/>
          <w:sz w:val="24"/>
          <w:szCs w:val="24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ind w:right="-1" w:firstLine="7088"/>
        <w:rPr>
          <w:rFonts w:ascii="Times New Roman" w:eastAsia="Times New Roman" w:hAnsi="Times New Roman"/>
          <w:bCs/>
          <w:color w:val="000000"/>
          <w:spacing w:val="-5"/>
          <w:sz w:val="24"/>
          <w:szCs w:val="24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ind w:right="-1" w:firstLine="7088"/>
        <w:rPr>
          <w:rFonts w:ascii="Times New Roman" w:eastAsia="Times New Roman" w:hAnsi="Times New Roman"/>
          <w:bCs/>
          <w:color w:val="000000"/>
          <w:spacing w:val="-5"/>
          <w:sz w:val="24"/>
          <w:szCs w:val="24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ind w:left="5103" w:right="-1"/>
        <w:rPr>
          <w:rFonts w:ascii="Times New Roman" w:eastAsia="Times New Roman" w:hAnsi="Times New Roman"/>
          <w:b/>
          <w:bCs/>
          <w:color w:val="000000"/>
          <w:spacing w:val="-5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-5"/>
          <w:sz w:val="24"/>
          <w:szCs w:val="24"/>
          <w:lang w:val="uk-UA" w:eastAsia="ru-RU"/>
        </w:rPr>
        <w:t xml:space="preserve">Додаток №1 </w:t>
      </w:r>
    </w:p>
    <w:p w:rsidR="006819DE" w:rsidRDefault="006819DE" w:rsidP="006819DE">
      <w:pPr>
        <w:shd w:val="clear" w:color="auto" w:fill="FFFFFF"/>
        <w:spacing w:after="0" w:line="240" w:lineRule="auto"/>
        <w:ind w:left="5103" w:right="-1"/>
        <w:rPr>
          <w:rFonts w:ascii="Times New Roman" w:eastAsia="Times New Roman" w:hAnsi="Times New Roman"/>
          <w:b/>
          <w:bCs/>
          <w:color w:val="000000"/>
          <w:spacing w:val="-5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-5"/>
          <w:sz w:val="24"/>
          <w:szCs w:val="24"/>
          <w:lang w:val="uk-UA" w:eastAsia="ru-RU"/>
        </w:rPr>
        <w:t xml:space="preserve">до рішення  </w:t>
      </w:r>
      <w:proofErr w:type="spellStart"/>
      <w:r>
        <w:rPr>
          <w:rFonts w:ascii="Times New Roman" w:eastAsia="Times New Roman" w:hAnsi="Times New Roman"/>
          <w:b/>
          <w:bCs/>
          <w:color w:val="000000"/>
          <w:spacing w:val="-5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/>
          <w:b/>
          <w:bCs/>
          <w:color w:val="000000"/>
          <w:spacing w:val="-5"/>
          <w:sz w:val="24"/>
          <w:szCs w:val="24"/>
          <w:lang w:val="uk-UA" w:eastAsia="ru-RU"/>
        </w:rPr>
        <w:t xml:space="preserve"> міської ради</w:t>
      </w:r>
    </w:p>
    <w:p w:rsidR="006819DE" w:rsidRDefault="006819DE" w:rsidP="006819DE">
      <w:pPr>
        <w:shd w:val="clear" w:color="auto" w:fill="FFFFFF"/>
        <w:spacing w:after="0" w:line="240" w:lineRule="auto"/>
        <w:ind w:left="5103" w:right="-1"/>
        <w:rPr>
          <w:rFonts w:ascii="Times New Roman" w:eastAsia="Times New Roman" w:hAnsi="Times New Roman"/>
          <w:b/>
          <w:bCs/>
          <w:color w:val="000000"/>
          <w:spacing w:val="-5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-5"/>
          <w:sz w:val="24"/>
          <w:szCs w:val="24"/>
          <w:lang w:val="uk-UA" w:eastAsia="ru-RU"/>
        </w:rPr>
        <w:t>від  25.03.2021 року № 784-9-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pacing w:val="-5"/>
          <w:sz w:val="24"/>
          <w:szCs w:val="24"/>
          <w:lang w:val="uk-UA" w:eastAsia="ru-RU"/>
        </w:rPr>
        <w:t>VIІІ</w:t>
      </w:r>
    </w:p>
    <w:p w:rsidR="006819DE" w:rsidRDefault="006819DE" w:rsidP="006819DE">
      <w:pPr>
        <w:shd w:val="clear" w:color="auto" w:fill="FFFFFF"/>
        <w:spacing w:after="0" w:line="240" w:lineRule="auto"/>
        <w:ind w:right="-1" w:firstLine="7088"/>
        <w:jc w:val="center"/>
        <w:rPr>
          <w:rFonts w:ascii="Times New Roman" w:eastAsia="Times New Roman" w:hAnsi="Times New Roman"/>
          <w:bCs/>
          <w:color w:val="000000"/>
          <w:spacing w:val="-5"/>
          <w:sz w:val="24"/>
          <w:szCs w:val="24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/>
          <w:b/>
          <w:color w:val="000000"/>
          <w:spacing w:val="-5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pacing w:val="-5"/>
          <w:sz w:val="24"/>
          <w:szCs w:val="24"/>
          <w:lang w:val="uk-UA" w:eastAsia="ru-RU"/>
        </w:rPr>
        <w:t xml:space="preserve">Перелік об’єктів водопостачання та водовідведення села </w:t>
      </w:r>
      <w:proofErr w:type="spellStart"/>
      <w:r>
        <w:rPr>
          <w:rFonts w:ascii="Times New Roman" w:eastAsia="Times New Roman" w:hAnsi="Times New Roman"/>
          <w:b/>
          <w:color w:val="000000"/>
          <w:spacing w:val="-5"/>
          <w:sz w:val="24"/>
          <w:szCs w:val="24"/>
          <w:lang w:val="uk-UA" w:eastAsia="ru-RU"/>
        </w:rPr>
        <w:t>Здвижівка</w:t>
      </w:r>
      <w:proofErr w:type="spellEnd"/>
      <w:r>
        <w:rPr>
          <w:rFonts w:ascii="Times New Roman" w:eastAsia="Times New Roman" w:hAnsi="Times New Roman"/>
          <w:b/>
          <w:color w:val="000000"/>
          <w:spacing w:val="-5"/>
          <w:sz w:val="24"/>
          <w:szCs w:val="24"/>
          <w:lang w:val="uk-UA" w:eastAsia="ru-RU"/>
        </w:rPr>
        <w:t xml:space="preserve">,  </w:t>
      </w:r>
    </w:p>
    <w:p w:rsidR="006819DE" w:rsidRDefault="006819DE" w:rsidP="006819DE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/>
          <w:b/>
          <w:color w:val="000000"/>
          <w:spacing w:val="-5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pacing w:val="-5"/>
          <w:sz w:val="24"/>
          <w:szCs w:val="24"/>
          <w:lang w:val="uk-UA" w:eastAsia="ru-RU"/>
        </w:rPr>
        <w:t>що передаються на баланс та в господарське відання КП «</w:t>
      </w:r>
      <w:proofErr w:type="spellStart"/>
      <w:r>
        <w:rPr>
          <w:rFonts w:ascii="Times New Roman" w:eastAsia="Times New Roman" w:hAnsi="Times New Roman"/>
          <w:b/>
          <w:color w:val="000000"/>
          <w:spacing w:val="-5"/>
          <w:sz w:val="24"/>
          <w:szCs w:val="24"/>
          <w:lang w:val="uk-UA" w:eastAsia="ru-RU"/>
        </w:rPr>
        <w:t>Бучасервіс</w:t>
      </w:r>
      <w:proofErr w:type="spellEnd"/>
      <w:r>
        <w:rPr>
          <w:rFonts w:ascii="Times New Roman" w:eastAsia="Times New Roman" w:hAnsi="Times New Roman"/>
          <w:b/>
          <w:color w:val="000000"/>
          <w:spacing w:val="-5"/>
          <w:sz w:val="24"/>
          <w:szCs w:val="24"/>
          <w:lang w:val="uk-UA" w:eastAsia="ru-RU"/>
        </w:rPr>
        <w:t xml:space="preserve">» </w:t>
      </w:r>
      <w:proofErr w:type="spellStart"/>
      <w:r>
        <w:rPr>
          <w:rFonts w:ascii="Times New Roman" w:eastAsia="Times New Roman" w:hAnsi="Times New Roman"/>
          <w:b/>
          <w:color w:val="000000"/>
          <w:spacing w:val="-5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/>
          <w:b/>
          <w:color w:val="000000"/>
          <w:spacing w:val="-5"/>
          <w:sz w:val="24"/>
          <w:szCs w:val="24"/>
          <w:lang w:val="uk-UA" w:eastAsia="ru-RU"/>
        </w:rPr>
        <w:t xml:space="preserve"> міської ради</w:t>
      </w:r>
    </w:p>
    <w:p w:rsidR="006819DE" w:rsidRDefault="006819DE" w:rsidP="006819DE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7"/>
        <w:gridCol w:w="37"/>
        <w:gridCol w:w="1134"/>
        <w:gridCol w:w="15"/>
        <w:gridCol w:w="1119"/>
        <w:gridCol w:w="14"/>
        <w:gridCol w:w="2539"/>
      </w:tblGrid>
      <w:tr w:rsidR="006819DE" w:rsidTr="006819DE"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DE" w:rsidRDefault="006819DE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>Найменування, стисла характеристика та призначення об</w:t>
            </w:r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>єкта</w:t>
            </w:r>
            <w:proofErr w:type="spellEnd"/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DE" w:rsidRDefault="006819DE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DE" w:rsidRDefault="006819DE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DE" w:rsidRDefault="006819DE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>Балансова вартість</w:t>
            </w:r>
          </w:p>
        </w:tc>
      </w:tr>
      <w:tr w:rsidR="006819DE" w:rsidTr="006819DE">
        <w:tc>
          <w:tcPr>
            <w:tcW w:w="4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Свердловина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вул.Чорнобильська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60 722,00</w:t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60722,00</w:t>
            </w:r>
          </w:p>
        </w:tc>
      </w:tr>
      <w:tr w:rsidR="006819DE" w:rsidTr="006819DE">
        <w:tc>
          <w:tcPr>
            <w:tcW w:w="4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Свердловина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вул.Чорнобильська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60 723,00</w:t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60723,00</w:t>
            </w:r>
          </w:p>
        </w:tc>
      </w:tr>
      <w:tr w:rsidR="006819DE" w:rsidTr="006819DE">
        <w:trPr>
          <w:trHeight w:val="300"/>
        </w:trPr>
        <w:tc>
          <w:tcPr>
            <w:tcW w:w="4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Водонапірна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башня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вул.Чорнобильська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20 780,00</w:t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20780,00</w:t>
            </w:r>
          </w:p>
        </w:tc>
      </w:tr>
      <w:tr w:rsidR="006819DE" w:rsidTr="006819DE">
        <w:trPr>
          <w:trHeight w:val="405"/>
        </w:trPr>
        <w:tc>
          <w:tcPr>
            <w:tcW w:w="4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Водонапірна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башня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вул.Чорнобильська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20 780,00</w:t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20780,00</w:t>
            </w:r>
          </w:p>
        </w:tc>
      </w:tr>
      <w:tr w:rsidR="006819DE" w:rsidTr="006819DE">
        <w:trPr>
          <w:trHeight w:val="1350"/>
        </w:trPr>
        <w:tc>
          <w:tcPr>
            <w:tcW w:w="4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Водонапірна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мережа 5900м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Вулиці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Чорнобильська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Авіаторів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Київських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будівельників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Дружби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народів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Вишнева,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Калинівська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Миру,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Новоселів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пер.Студентський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288 717,00</w:t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288717,00</w:t>
            </w:r>
          </w:p>
        </w:tc>
      </w:tr>
      <w:tr w:rsidR="006819DE" w:rsidTr="006819DE">
        <w:tc>
          <w:tcPr>
            <w:tcW w:w="4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Вигрібні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вул.Центральна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819DE" w:rsidTr="006819DE">
        <w:trPr>
          <w:trHeight w:val="465"/>
        </w:trPr>
        <w:tc>
          <w:tcPr>
            <w:tcW w:w="4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Каналізаційна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система 1000 м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вул.Центральна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819DE" w:rsidTr="006819DE">
        <w:trPr>
          <w:trHeight w:val="465"/>
        </w:trPr>
        <w:tc>
          <w:tcPr>
            <w:tcW w:w="4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Свердловина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водонапір.башнею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вул.Центральна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, 104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24657,00</w:t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24657,00</w:t>
            </w:r>
          </w:p>
        </w:tc>
      </w:tr>
      <w:tr w:rsidR="006819DE" w:rsidTr="006819DE">
        <w:tc>
          <w:tcPr>
            <w:tcW w:w="4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Будівля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котельні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вул.Центральна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83600,00</w:t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19DE" w:rsidRDefault="006819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75603,80</w:t>
            </w:r>
          </w:p>
        </w:tc>
      </w:tr>
    </w:tbl>
    <w:p w:rsidR="006819DE" w:rsidRDefault="006819DE" w:rsidP="006819DE">
      <w:pPr>
        <w:spacing w:after="0" w:line="240" w:lineRule="auto"/>
        <w:rPr>
          <w:rFonts w:ascii="Times New Roman" w:eastAsia="Times New Roman" w:hAnsi="Times New Roman"/>
          <w:vanish/>
          <w:color w:val="000000"/>
          <w:sz w:val="26"/>
          <w:szCs w:val="26"/>
          <w:lang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val="uk-UA" w:eastAsia="ru-RU"/>
        </w:rPr>
        <w:t xml:space="preserve">Секретар ради                                                                                                              Т.О. </w:t>
      </w:r>
      <w:proofErr w:type="spellStart"/>
      <w:r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val="uk-UA" w:eastAsia="ru-RU"/>
        </w:rPr>
        <w:t>Шаправський</w:t>
      </w:r>
      <w:proofErr w:type="spellEnd"/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ind w:left="5103" w:right="-1"/>
        <w:rPr>
          <w:rFonts w:ascii="Times New Roman" w:eastAsia="Times New Roman" w:hAnsi="Times New Roman"/>
          <w:b/>
          <w:bCs/>
          <w:color w:val="000000"/>
          <w:spacing w:val="-5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-5"/>
          <w:sz w:val="24"/>
          <w:szCs w:val="24"/>
          <w:lang w:val="uk-UA" w:eastAsia="ru-RU"/>
        </w:rPr>
        <w:lastRenderedPageBreak/>
        <w:t xml:space="preserve">Додаток №2 </w:t>
      </w:r>
    </w:p>
    <w:p w:rsidR="006819DE" w:rsidRDefault="006819DE" w:rsidP="006819DE">
      <w:pPr>
        <w:shd w:val="clear" w:color="auto" w:fill="FFFFFF"/>
        <w:spacing w:after="0" w:line="240" w:lineRule="auto"/>
        <w:ind w:left="5103" w:right="-1"/>
        <w:rPr>
          <w:rFonts w:ascii="Times New Roman" w:eastAsia="Times New Roman" w:hAnsi="Times New Roman"/>
          <w:b/>
          <w:bCs/>
          <w:color w:val="000000"/>
          <w:spacing w:val="-5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-5"/>
          <w:sz w:val="24"/>
          <w:szCs w:val="24"/>
          <w:lang w:val="uk-UA" w:eastAsia="ru-RU"/>
        </w:rPr>
        <w:t xml:space="preserve">до рішення  </w:t>
      </w:r>
      <w:proofErr w:type="spellStart"/>
      <w:r>
        <w:rPr>
          <w:rFonts w:ascii="Times New Roman" w:eastAsia="Times New Roman" w:hAnsi="Times New Roman"/>
          <w:b/>
          <w:bCs/>
          <w:color w:val="000000"/>
          <w:spacing w:val="-5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/>
          <w:b/>
          <w:bCs/>
          <w:color w:val="000000"/>
          <w:spacing w:val="-5"/>
          <w:sz w:val="24"/>
          <w:szCs w:val="24"/>
          <w:lang w:val="uk-UA" w:eastAsia="ru-RU"/>
        </w:rPr>
        <w:t xml:space="preserve"> міської ради</w:t>
      </w:r>
    </w:p>
    <w:p w:rsidR="006819DE" w:rsidRDefault="006819DE" w:rsidP="006819DE">
      <w:pPr>
        <w:shd w:val="clear" w:color="auto" w:fill="FFFFFF"/>
        <w:spacing w:after="0" w:line="240" w:lineRule="auto"/>
        <w:ind w:left="5103" w:right="-1"/>
        <w:rPr>
          <w:rFonts w:ascii="Times New Roman" w:eastAsia="Times New Roman" w:hAnsi="Times New Roman"/>
          <w:b/>
          <w:bCs/>
          <w:color w:val="000000"/>
          <w:spacing w:val="-5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-5"/>
          <w:sz w:val="24"/>
          <w:szCs w:val="24"/>
          <w:lang w:val="uk-UA" w:eastAsia="ru-RU"/>
        </w:rPr>
        <w:t>від  25.03.2021 року № 784-9-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pacing w:val="-5"/>
          <w:sz w:val="24"/>
          <w:szCs w:val="24"/>
          <w:lang w:val="uk-UA" w:eastAsia="ru-RU"/>
        </w:rPr>
        <w:t>VIІІ</w:t>
      </w:r>
    </w:p>
    <w:p w:rsidR="006819DE" w:rsidRDefault="006819DE" w:rsidP="006819DE">
      <w:pPr>
        <w:shd w:val="clear" w:color="auto" w:fill="FFFFFF"/>
        <w:spacing w:after="0" w:line="240" w:lineRule="auto"/>
        <w:ind w:right="-1" w:firstLine="7088"/>
        <w:jc w:val="center"/>
        <w:rPr>
          <w:rFonts w:ascii="Times New Roman" w:eastAsia="Times New Roman" w:hAnsi="Times New Roman"/>
          <w:bCs/>
          <w:color w:val="000000"/>
          <w:spacing w:val="-5"/>
          <w:sz w:val="24"/>
          <w:szCs w:val="24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/>
          <w:b/>
          <w:color w:val="000000"/>
          <w:spacing w:val="-5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pacing w:val="-5"/>
          <w:sz w:val="24"/>
          <w:szCs w:val="24"/>
          <w:lang w:val="uk-UA" w:eastAsia="ru-RU"/>
        </w:rPr>
        <w:t xml:space="preserve">Перелік об’єктів водопостачання та водовідведення села Синяк,  </w:t>
      </w:r>
    </w:p>
    <w:p w:rsidR="006819DE" w:rsidRDefault="006819DE" w:rsidP="006819DE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/>
          <w:b/>
          <w:color w:val="000000"/>
          <w:spacing w:val="-5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pacing w:val="-5"/>
          <w:sz w:val="24"/>
          <w:szCs w:val="24"/>
          <w:lang w:val="uk-UA" w:eastAsia="ru-RU"/>
        </w:rPr>
        <w:t>що передаються на баланс та в господарське відання КП «</w:t>
      </w:r>
      <w:proofErr w:type="spellStart"/>
      <w:r>
        <w:rPr>
          <w:rFonts w:ascii="Times New Roman" w:eastAsia="Times New Roman" w:hAnsi="Times New Roman"/>
          <w:b/>
          <w:color w:val="000000"/>
          <w:spacing w:val="-5"/>
          <w:sz w:val="24"/>
          <w:szCs w:val="24"/>
          <w:lang w:val="uk-UA" w:eastAsia="ru-RU"/>
        </w:rPr>
        <w:t>Бучасервіс</w:t>
      </w:r>
      <w:proofErr w:type="spellEnd"/>
      <w:r>
        <w:rPr>
          <w:rFonts w:ascii="Times New Roman" w:eastAsia="Times New Roman" w:hAnsi="Times New Roman"/>
          <w:b/>
          <w:color w:val="000000"/>
          <w:spacing w:val="-5"/>
          <w:sz w:val="24"/>
          <w:szCs w:val="24"/>
          <w:lang w:val="uk-UA" w:eastAsia="ru-RU"/>
        </w:rPr>
        <w:t xml:space="preserve">» </w:t>
      </w:r>
      <w:proofErr w:type="spellStart"/>
      <w:r>
        <w:rPr>
          <w:rFonts w:ascii="Times New Roman" w:eastAsia="Times New Roman" w:hAnsi="Times New Roman"/>
          <w:b/>
          <w:color w:val="000000"/>
          <w:spacing w:val="-5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/>
          <w:b/>
          <w:color w:val="000000"/>
          <w:spacing w:val="-5"/>
          <w:sz w:val="24"/>
          <w:szCs w:val="24"/>
          <w:lang w:val="uk-UA" w:eastAsia="ru-RU"/>
        </w:rPr>
        <w:t xml:space="preserve"> міської ради</w:t>
      </w:r>
    </w:p>
    <w:p w:rsidR="006819DE" w:rsidRDefault="006819DE" w:rsidP="006819DE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7"/>
        <w:gridCol w:w="1186"/>
        <w:gridCol w:w="1133"/>
        <w:gridCol w:w="2539"/>
      </w:tblGrid>
      <w:tr w:rsidR="006819DE" w:rsidTr="006819DE"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DE" w:rsidRDefault="006819DE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>Найменування, стисла характеристика та призначення об</w:t>
            </w:r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>єкта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DE" w:rsidRDefault="006819DE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DE" w:rsidRDefault="006819DE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DE" w:rsidRDefault="006819DE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>Балансова вартість</w:t>
            </w:r>
          </w:p>
        </w:tc>
      </w:tr>
      <w:tr w:rsidR="006819DE" w:rsidTr="006819DE"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DE" w:rsidRDefault="006819DE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 xml:space="preserve">Водопровідна башта </w:t>
            </w:r>
            <w:proofErr w:type="spellStart"/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>с.Синяк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DE" w:rsidRDefault="006819DE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DE" w:rsidRDefault="006819DE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DE" w:rsidRDefault="006819DE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> </w:t>
            </w:r>
          </w:p>
        </w:tc>
      </w:tr>
      <w:tr w:rsidR="006819DE" w:rsidTr="006819DE"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DE" w:rsidRDefault="006819DE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 xml:space="preserve">Водопровід  </w:t>
            </w:r>
            <w:proofErr w:type="spellStart"/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>с.Синяк</w:t>
            </w:r>
            <w:proofErr w:type="spellEnd"/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 xml:space="preserve"> 3200 м.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DE" w:rsidRDefault="006819DE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DE" w:rsidRDefault="006819DE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DE" w:rsidRDefault="006819DE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> </w:t>
            </w:r>
          </w:p>
        </w:tc>
      </w:tr>
      <w:tr w:rsidR="006819DE" w:rsidTr="006819DE"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DE" w:rsidRDefault="006819DE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>Каналізаційна система</w:t>
            </w:r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en-US" w:eastAsia="ru-RU"/>
              </w:rPr>
              <w:t xml:space="preserve"> 1500 </w:t>
            </w:r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>м.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DE" w:rsidRDefault="006819DE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DE" w:rsidRDefault="006819DE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DE" w:rsidRDefault="006819DE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> </w:t>
            </w:r>
          </w:p>
        </w:tc>
      </w:tr>
      <w:tr w:rsidR="006819DE" w:rsidTr="006819DE">
        <w:trPr>
          <w:trHeight w:val="833"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DE" w:rsidRDefault="006819DE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 xml:space="preserve">Котельня </w:t>
            </w:r>
            <w:proofErr w:type="spellStart"/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>с.Синяк</w:t>
            </w:r>
            <w:proofErr w:type="spellEnd"/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 xml:space="preserve"> ,вул..Овчаренка,4</w:t>
            </w:r>
          </w:p>
          <w:p w:rsidR="006819DE" w:rsidRDefault="006819DE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>(свідоцтво про право власності ,серія та номер 51751243)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DE" w:rsidRDefault="006819DE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DE" w:rsidRDefault="006819DE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DE" w:rsidRDefault="006819DE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Calibri"/>
                <w:b/>
                <w:color w:val="000000"/>
                <w:sz w:val="16"/>
                <w:szCs w:val="16"/>
                <w:lang w:val="uk-UA" w:eastAsia="ru-RU"/>
              </w:rPr>
              <w:t> </w:t>
            </w:r>
          </w:p>
        </w:tc>
      </w:tr>
    </w:tbl>
    <w:p w:rsidR="006819DE" w:rsidRDefault="006819DE" w:rsidP="006819DE">
      <w:pPr>
        <w:spacing w:after="0" w:line="240" w:lineRule="auto"/>
        <w:rPr>
          <w:rFonts w:ascii="Times New Roman" w:eastAsia="Times New Roman" w:hAnsi="Times New Roman"/>
          <w:vanish/>
          <w:color w:val="000000"/>
          <w:sz w:val="26"/>
          <w:szCs w:val="26"/>
          <w:lang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val="uk-UA" w:eastAsia="ru-RU"/>
        </w:rPr>
        <w:t xml:space="preserve">Секретар ради                                                                                                              Т.О. </w:t>
      </w:r>
      <w:proofErr w:type="spellStart"/>
      <w:r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val="uk-UA" w:eastAsia="ru-RU"/>
        </w:rPr>
        <w:t>Шаправський</w:t>
      </w:r>
      <w:proofErr w:type="spellEnd"/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u w:val="single"/>
          <w:lang w:val="uk-UA" w:eastAsia="ru-RU"/>
        </w:rPr>
      </w:pPr>
    </w:p>
    <w:p w:rsidR="006819DE" w:rsidRDefault="006819DE" w:rsidP="006819DE">
      <w:pPr>
        <w:spacing w:after="0" w:line="240" w:lineRule="auto"/>
        <w:ind w:firstLine="510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lastRenderedPageBreak/>
        <w:t>Додаток 3</w:t>
      </w:r>
    </w:p>
    <w:p w:rsidR="006819DE" w:rsidRDefault="006819DE" w:rsidP="006819DE">
      <w:pPr>
        <w:spacing w:after="0" w:line="240" w:lineRule="auto"/>
        <w:ind w:firstLine="510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до рішення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міської ради  </w:t>
      </w:r>
    </w:p>
    <w:p w:rsidR="006819DE" w:rsidRDefault="006819DE" w:rsidP="006819DE">
      <w:pPr>
        <w:spacing w:after="0" w:line="240" w:lineRule="auto"/>
        <w:ind w:firstLine="510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№ 784- 9-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ІІІ від «25» березня 2021р.</w:t>
      </w:r>
    </w:p>
    <w:p w:rsidR="006819DE" w:rsidRDefault="006819DE" w:rsidP="006819DE">
      <w:pPr>
        <w:spacing w:after="0" w:line="240" w:lineRule="auto"/>
        <w:ind w:firstLine="567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819DE" w:rsidRDefault="006819DE" w:rsidP="006819DE">
      <w:pPr>
        <w:spacing w:after="0" w:line="240" w:lineRule="auto"/>
        <w:ind w:left="1134" w:right="1417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Склад комісії </w:t>
      </w:r>
    </w:p>
    <w:p w:rsidR="006819DE" w:rsidRDefault="006819DE" w:rsidP="006819DE">
      <w:pPr>
        <w:spacing w:after="0" w:line="240" w:lineRule="auto"/>
        <w:ind w:left="1134" w:right="1417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з передачі об’єктів водопостачання та водовідведення, що розташовані в селищі Ворзель на баланс та в господарське відання КП «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Бучасервіс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»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міської ради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54"/>
        <w:gridCol w:w="2611"/>
        <w:gridCol w:w="2074"/>
        <w:gridCol w:w="3216"/>
      </w:tblGrid>
      <w:tr w:rsidR="006819DE" w:rsidTr="006819DE">
        <w:tc>
          <w:tcPr>
            <w:tcW w:w="1454" w:type="dxa"/>
          </w:tcPr>
          <w:p w:rsidR="006819DE" w:rsidRDefault="006819DE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Голова комісії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</w:tc>
        <w:tc>
          <w:tcPr>
            <w:tcW w:w="2611" w:type="dxa"/>
          </w:tcPr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</w:t>
            </w:r>
          </w:p>
        </w:tc>
        <w:tc>
          <w:tcPr>
            <w:tcW w:w="2074" w:type="dxa"/>
          </w:tcPr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Шепетько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С.А.</w:t>
            </w:r>
          </w:p>
        </w:tc>
        <w:tc>
          <w:tcPr>
            <w:tcW w:w="3216" w:type="dxa"/>
          </w:tcPr>
          <w:p w:rsidR="006819DE" w:rsidRDefault="006819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pBdr>
                <w:bottom w:val="single" w:sz="12" w:space="1" w:color="auto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819DE" w:rsidTr="006819DE">
        <w:tc>
          <w:tcPr>
            <w:tcW w:w="1454" w:type="dxa"/>
            <w:hideMark/>
          </w:tcPr>
          <w:p w:rsidR="006819DE" w:rsidRDefault="006819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Члени комісії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</w:tc>
        <w:tc>
          <w:tcPr>
            <w:tcW w:w="2611" w:type="dxa"/>
          </w:tcPr>
          <w:p w:rsidR="006819DE" w:rsidRDefault="006819DE">
            <w:pPr>
              <w:spacing w:after="0" w:line="276" w:lineRule="auto"/>
              <w:ind w:lef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Секретар ради</w:t>
            </w:r>
          </w:p>
          <w:p w:rsidR="006819DE" w:rsidRDefault="006819DE">
            <w:pPr>
              <w:spacing w:after="0" w:line="276" w:lineRule="auto"/>
              <w:ind w:left="-59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управління-юридично кадрової роботи                             </w:t>
            </w: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бухгалтерського обліку та фінансового забезпечення - головний бухгалтер</w:t>
            </w: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Завідувач сектору житлово-комунальної інфраструктури</w:t>
            </w: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КП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Бучасервіс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 </w:t>
            </w:r>
          </w:p>
        </w:tc>
        <w:tc>
          <w:tcPr>
            <w:tcW w:w="2074" w:type="dxa"/>
          </w:tcPr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Шаправський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Т.О.</w:t>
            </w: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(за посадою)                             </w:t>
            </w: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посадою)</w:t>
            </w: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посадою)</w:t>
            </w: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Мостіпака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С.В.</w:t>
            </w:r>
          </w:p>
        </w:tc>
        <w:tc>
          <w:tcPr>
            <w:tcW w:w="3216" w:type="dxa"/>
          </w:tcPr>
          <w:p w:rsidR="006819DE" w:rsidRDefault="006819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_______________________</w:t>
            </w: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_______________________</w:t>
            </w: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tabs>
                <w:tab w:val="left" w:pos="720"/>
              </w:tabs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_______________________</w:t>
            </w:r>
          </w:p>
          <w:p w:rsidR="006819DE" w:rsidRDefault="006819DE">
            <w:pPr>
              <w:spacing w:after="0" w:line="276" w:lineRule="auto"/>
              <w:ind w:firstLine="70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ind w:firstLine="70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_______________________</w:t>
            </w: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________________________</w:t>
            </w:r>
          </w:p>
        </w:tc>
      </w:tr>
      <w:tr w:rsidR="006819DE" w:rsidTr="006819DE">
        <w:tc>
          <w:tcPr>
            <w:tcW w:w="1454" w:type="dxa"/>
          </w:tcPr>
          <w:p w:rsidR="006819DE" w:rsidRDefault="006819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11" w:type="dxa"/>
          </w:tcPr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Головний бухгалтер КП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Бучасервіс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  </w:t>
            </w:r>
          </w:p>
        </w:tc>
        <w:tc>
          <w:tcPr>
            <w:tcW w:w="2074" w:type="dxa"/>
          </w:tcPr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Єренкова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А.В.</w:t>
            </w:r>
          </w:p>
        </w:tc>
        <w:tc>
          <w:tcPr>
            <w:tcW w:w="3216" w:type="dxa"/>
          </w:tcPr>
          <w:p w:rsidR="006819DE" w:rsidRDefault="006819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________________________</w:t>
            </w:r>
          </w:p>
          <w:p w:rsidR="006819DE" w:rsidRDefault="006819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819DE" w:rsidTr="006819DE">
        <w:tc>
          <w:tcPr>
            <w:tcW w:w="1454" w:type="dxa"/>
          </w:tcPr>
          <w:p w:rsidR="006819DE" w:rsidRDefault="006819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11" w:type="dxa"/>
          </w:tcPr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Головний юрист консульт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КП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» </w:t>
            </w:r>
          </w:p>
        </w:tc>
        <w:tc>
          <w:tcPr>
            <w:tcW w:w="2074" w:type="dxa"/>
          </w:tcPr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Левчук В.В.</w:t>
            </w:r>
          </w:p>
        </w:tc>
        <w:tc>
          <w:tcPr>
            <w:tcW w:w="3216" w:type="dxa"/>
          </w:tcPr>
          <w:p w:rsidR="006819DE" w:rsidRDefault="006819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_________________________</w:t>
            </w:r>
          </w:p>
        </w:tc>
      </w:tr>
      <w:tr w:rsidR="006819DE" w:rsidTr="006819DE">
        <w:tc>
          <w:tcPr>
            <w:tcW w:w="1454" w:type="dxa"/>
          </w:tcPr>
          <w:p w:rsidR="006819DE" w:rsidRDefault="006819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11" w:type="dxa"/>
          </w:tcPr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74" w:type="dxa"/>
          </w:tcPr>
          <w:p w:rsidR="006819DE" w:rsidRDefault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16" w:type="dxa"/>
          </w:tcPr>
          <w:p w:rsidR="006819DE" w:rsidRDefault="006819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819DE" w:rsidTr="006819DE">
        <w:trPr>
          <w:gridAfter w:val="3"/>
          <w:wAfter w:w="7901" w:type="dxa"/>
        </w:trPr>
        <w:tc>
          <w:tcPr>
            <w:tcW w:w="1454" w:type="dxa"/>
          </w:tcPr>
          <w:p w:rsidR="006819DE" w:rsidRDefault="006819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819DE" w:rsidTr="006819DE">
        <w:trPr>
          <w:gridAfter w:val="3"/>
          <w:wAfter w:w="7901" w:type="dxa"/>
        </w:trPr>
        <w:tc>
          <w:tcPr>
            <w:tcW w:w="1454" w:type="dxa"/>
          </w:tcPr>
          <w:p w:rsidR="006819DE" w:rsidRDefault="006819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819DE" w:rsidTr="006819DE">
        <w:trPr>
          <w:gridAfter w:val="3"/>
          <w:wAfter w:w="7901" w:type="dxa"/>
        </w:trPr>
        <w:tc>
          <w:tcPr>
            <w:tcW w:w="1454" w:type="dxa"/>
          </w:tcPr>
          <w:p w:rsidR="006819DE" w:rsidRDefault="006819DE" w:rsidP="006819D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6819DE" w:rsidRDefault="006819DE" w:rsidP="006819D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819DE" w:rsidRDefault="006819DE" w:rsidP="006819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val="uk-UA" w:eastAsia="ru-RU"/>
        </w:rPr>
        <w:t xml:space="preserve">Секретар ради                                                                                                             Т.О. </w:t>
      </w:r>
      <w:proofErr w:type="spellStart"/>
      <w:r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val="uk-UA" w:eastAsia="ru-RU"/>
        </w:rPr>
        <w:t>Шаправський</w:t>
      </w:r>
      <w:proofErr w:type="spellEnd"/>
    </w:p>
    <w:p w:rsidR="00D668F7" w:rsidRDefault="00D668F7">
      <w:bookmarkStart w:id="0" w:name="_GoBack"/>
      <w:bookmarkEnd w:id="0"/>
    </w:p>
    <w:sectPr w:rsidR="00D66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331C0"/>
    <w:multiLevelType w:val="hybridMultilevel"/>
    <w:tmpl w:val="D8106FF8"/>
    <w:lvl w:ilvl="0" w:tplc="AD067256">
      <w:start w:val="1"/>
      <w:numFmt w:val="decimal"/>
      <w:lvlText w:val="%1."/>
      <w:lvlJc w:val="left"/>
      <w:pPr>
        <w:ind w:left="870" w:hanging="51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E14"/>
    <w:rsid w:val="006819DE"/>
    <w:rsid w:val="009C4E14"/>
    <w:rsid w:val="00D6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550AA"/>
  <w15:chartTrackingRefBased/>
  <w15:docId w15:val="{8A843589-9DF4-4681-A1F4-BCDBB8716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9D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2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719</Words>
  <Characters>4100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2021-05-24T12:14:00Z</dcterms:created>
  <dcterms:modified xsi:type="dcterms:W3CDTF">2021-05-24T12:15:00Z</dcterms:modified>
</cp:coreProperties>
</file>